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56DEA" w14:textId="31DC098B" w:rsidR="00685D4B" w:rsidRDefault="00685D4B" w:rsidP="00685D4B">
      <w:pPr>
        <w:shd w:val="clear" w:color="auto" w:fill="FFFFFF"/>
        <w:spacing w:before="60" w:after="100" w:afterAutospacing="1" w:line="240" w:lineRule="auto"/>
        <w:outlineLvl w:val="0"/>
        <w:rPr>
          <w:rFonts w:ascii="Helvetica" w:eastAsia="Times New Roman" w:hAnsi="Helvetica" w:cs="Helvetica"/>
          <w:b/>
          <w:bCs/>
          <w:color w:val="141414"/>
          <w:spacing w:val="15"/>
          <w:kern w:val="36"/>
          <w:sz w:val="48"/>
          <w:szCs w:val="48"/>
        </w:rPr>
      </w:pPr>
      <w:r>
        <w:rPr>
          <w:rFonts w:ascii="Helvetica" w:eastAsia="Times New Roman" w:hAnsi="Helvetica" w:cs="Helvetica"/>
          <w:b/>
          <w:bCs/>
          <w:color w:val="141414"/>
          <w:spacing w:val="15"/>
          <w:kern w:val="36"/>
          <w:sz w:val="48"/>
          <w:szCs w:val="48"/>
        </w:rPr>
        <w:t>QUWF Research Information 11/24/21</w:t>
      </w:r>
    </w:p>
    <w:p w14:paraId="47CE0F52" w14:textId="2B779680" w:rsidR="00685D4B" w:rsidRPr="00685D4B" w:rsidRDefault="00685D4B" w:rsidP="00685D4B">
      <w:pPr>
        <w:shd w:val="clear" w:color="auto" w:fill="FFFFFF"/>
        <w:spacing w:before="60" w:after="100" w:afterAutospacing="1" w:line="240" w:lineRule="auto"/>
        <w:outlineLvl w:val="0"/>
        <w:rPr>
          <w:rFonts w:ascii="Helvetica" w:eastAsia="Times New Roman" w:hAnsi="Helvetica" w:cs="Helvetica"/>
          <w:b/>
          <w:bCs/>
          <w:color w:val="141414"/>
          <w:spacing w:val="15"/>
          <w:kern w:val="36"/>
          <w:sz w:val="48"/>
          <w:szCs w:val="48"/>
        </w:rPr>
      </w:pPr>
      <w:r w:rsidRPr="00685D4B">
        <w:rPr>
          <w:rFonts w:ascii="Helvetica" w:eastAsia="Times New Roman" w:hAnsi="Helvetica" w:cs="Helvetica"/>
          <w:b/>
          <w:bCs/>
          <w:color w:val="141414"/>
          <w:spacing w:val="15"/>
          <w:kern w:val="36"/>
          <w:sz w:val="48"/>
          <w:szCs w:val="48"/>
        </w:rPr>
        <w:t>Per- and Polyfluoroalkyl Substances (PFAS)</w:t>
      </w:r>
    </w:p>
    <w:p w14:paraId="472E9F19" w14:textId="77777777" w:rsidR="00685D4B" w:rsidRPr="00685D4B" w:rsidRDefault="00685D4B" w:rsidP="00685D4B">
      <w:pPr>
        <w:shd w:val="clear" w:color="auto" w:fill="FFFFFF"/>
        <w:spacing w:before="100" w:beforeAutospacing="1" w:after="100" w:afterAutospacing="1" w:line="240" w:lineRule="auto"/>
        <w:rPr>
          <w:rFonts w:ascii="Arial" w:eastAsia="Times New Roman" w:hAnsi="Arial" w:cs="Arial"/>
          <w:color w:val="141414"/>
          <w:sz w:val="24"/>
          <w:szCs w:val="24"/>
        </w:rPr>
      </w:pPr>
      <w:r w:rsidRPr="00685D4B">
        <w:rPr>
          <w:rFonts w:ascii="Arial" w:eastAsia="Times New Roman" w:hAnsi="Arial" w:cs="Arial"/>
          <w:color w:val="141414"/>
          <w:sz w:val="24"/>
          <w:szCs w:val="24"/>
        </w:rPr>
        <w:t>PFAS refer to a group of man-made chemicals known as Per- and Polyfluoroalkyl Substances. There are thousands of varieties of these chemicals including the six PFAS chemicals which are included in, </w:t>
      </w:r>
      <w:hyperlink r:id="rId5" w:history="1">
        <w:r w:rsidRPr="00685D4B">
          <w:rPr>
            <w:rFonts w:ascii="Arial" w:eastAsia="Times New Roman" w:hAnsi="Arial" w:cs="Arial"/>
            <w:color w:val="2A53A6"/>
            <w:sz w:val="24"/>
            <w:szCs w:val="24"/>
            <w:u w:val="single"/>
          </w:rPr>
          <w:t>Resolve 2021, Chapter 82 (Resolve, To Protect Consumers of Public Drinking Water by Establishing Maximum Contaminant Levels for Certain Substances and Contaminants)</w:t>
        </w:r>
      </w:hyperlink>
      <w:r w:rsidRPr="00685D4B">
        <w:rPr>
          <w:rFonts w:ascii="Arial" w:eastAsia="Times New Roman" w:hAnsi="Arial" w:cs="Arial"/>
          <w:color w:val="141414"/>
          <w:sz w:val="24"/>
          <w:szCs w:val="24"/>
        </w:rPr>
        <w:t> and listed below:</w:t>
      </w:r>
      <w:r w:rsidRPr="00685D4B">
        <w:rPr>
          <w:rFonts w:ascii="Helvetica" w:eastAsia="Times New Roman" w:hAnsi="Helvetica" w:cs="Helvetica"/>
          <w:noProof/>
          <w:color w:val="141414"/>
          <w:spacing w:val="15"/>
          <w:sz w:val="24"/>
          <w:szCs w:val="24"/>
        </w:rPr>
        <w:drawing>
          <wp:anchor distT="95250" distB="95250" distL="95250" distR="95250" simplePos="0" relativeHeight="251659264" behindDoc="0" locked="0" layoutInCell="1" allowOverlap="0" wp14:anchorId="027398AD" wp14:editId="27B4DB2C">
            <wp:simplePos x="0" y="0"/>
            <wp:positionH relativeFrom="column">
              <wp:align>right</wp:align>
            </wp:positionH>
            <wp:positionV relativeFrom="line">
              <wp:posOffset>0</wp:posOffset>
            </wp:positionV>
            <wp:extent cx="2857500" cy="2381250"/>
            <wp:effectExtent l="0" t="0" r="0" b="0"/>
            <wp:wrapSquare wrapText="bothSides"/>
            <wp:docPr id="2" name="Picture 2" descr="DEP Staff sampling soils for PFAS as part of the Fairfield Area PFAS investig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P Staff sampling soils for PFAS as part of the Fairfield Area PFAS investigatio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57500" cy="2381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9A4D02" w14:textId="77777777" w:rsidR="00685D4B" w:rsidRPr="00685D4B" w:rsidRDefault="00685D4B" w:rsidP="00685D4B">
      <w:pPr>
        <w:numPr>
          <w:ilvl w:val="0"/>
          <w:numId w:val="1"/>
        </w:numPr>
        <w:shd w:val="clear" w:color="auto" w:fill="FFFFFF"/>
        <w:spacing w:before="100" w:beforeAutospacing="1" w:after="100" w:afterAutospacing="1" w:line="240" w:lineRule="auto"/>
        <w:rPr>
          <w:rFonts w:ascii="Arial" w:eastAsia="Times New Roman" w:hAnsi="Arial" w:cs="Arial"/>
          <w:color w:val="141414"/>
          <w:sz w:val="24"/>
          <w:szCs w:val="24"/>
        </w:rPr>
      </w:pPr>
      <w:r w:rsidRPr="00685D4B">
        <w:rPr>
          <w:rFonts w:ascii="Arial" w:eastAsia="Times New Roman" w:hAnsi="Arial" w:cs="Arial"/>
          <w:color w:val="141414"/>
          <w:sz w:val="24"/>
          <w:szCs w:val="24"/>
        </w:rPr>
        <w:t>Perfluorooctanoic acid (PFOA)</w:t>
      </w:r>
    </w:p>
    <w:p w14:paraId="54893824" w14:textId="77777777" w:rsidR="00685D4B" w:rsidRPr="00685D4B" w:rsidRDefault="00685D4B" w:rsidP="00685D4B">
      <w:pPr>
        <w:numPr>
          <w:ilvl w:val="0"/>
          <w:numId w:val="1"/>
        </w:numPr>
        <w:shd w:val="clear" w:color="auto" w:fill="FFFFFF"/>
        <w:spacing w:before="100" w:beforeAutospacing="1" w:after="100" w:afterAutospacing="1" w:line="240" w:lineRule="auto"/>
        <w:rPr>
          <w:rFonts w:ascii="Arial" w:eastAsia="Times New Roman" w:hAnsi="Arial" w:cs="Arial"/>
          <w:color w:val="141414"/>
          <w:sz w:val="24"/>
          <w:szCs w:val="24"/>
        </w:rPr>
      </w:pPr>
      <w:proofErr w:type="spellStart"/>
      <w:r w:rsidRPr="00685D4B">
        <w:rPr>
          <w:rFonts w:ascii="Arial" w:eastAsia="Times New Roman" w:hAnsi="Arial" w:cs="Arial"/>
          <w:color w:val="141414"/>
          <w:sz w:val="24"/>
          <w:szCs w:val="24"/>
        </w:rPr>
        <w:t>Perfluorooctanesulfonate</w:t>
      </w:r>
      <w:proofErr w:type="spellEnd"/>
      <w:r w:rsidRPr="00685D4B">
        <w:rPr>
          <w:rFonts w:ascii="Arial" w:eastAsia="Times New Roman" w:hAnsi="Arial" w:cs="Arial"/>
          <w:color w:val="141414"/>
          <w:sz w:val="24"/>
          <w:szCs w:val="24"/>
        </w:rPr>
        <w:t xml:space="preserve"> (PFOS)</w:t>
      </w:r>
    </w:p>
    <w:p w14:paraId="2F3BA4EE" w14:textId="77777777" w:rsidR="00685D4B" w:rsidRPr="00685D4B" w:rsidRDefault="00685D4B" w:rsidP="00685D4B">
      <w:pPr>
        <w:numPr>
          <w:ilvl w:val="0"/>
          <w:numId w:val="1"/>
        </w:numPr>
        <w:shd w:val="clear" w:color="auto" w:fill="FFFFFF"/>
        <w:spacing w:before="100" w:beforeAutospacing="1" w:after="100" w:afterAutospacing="1" w:line="240" w:lineRule="auto"/>
        <w:rPr>
          <w:rFonts w:ascii="Arial" w:eastAsia="Times New Roman" w:hAnsi="Arial" w:cs="Arial"/>
          <w:color w:val="141414"/>
          <w:sz w:val="24"/>
          <w:szCs w:val="24"/>
        </w:rPr>
      </w:pPr>
      <w:proofErr w:type="spellStart"/>
      <w:r w:rsidRPr="00685D4B">
        <w:rPr>
          <w:rFonts w:ascii="Arial" w:eastAsia="Times New Roman" w:hAnsi="Arial" w:cs="Arial"/>
          <w:color w:val="141414"/>
          <w:sz w:val="24"/>
          <w:szCs w:val="24"/>
        </w:rPr>
        <w:t>Perfluorononanoic</w:t>
      </w:r>
      <w:proofErr w:type="spellEnd"/>
      <w:r w:rsidRPr="00685D4B">
        <w:rPr>
          <w:rFonts w:ascii="Arial" w:eastAsia="Times New Roman" w:hAnsi="Arial" w:cs="Arial"/>
          <w:color w:val="141414"/>
          <w:sz w:val="24"/>
          <w:szCs w:val="24"/>
        </w:rPr>
        <w:t xml:space="preserve"> acid (PFNA)</w:t>
      </w:r>
    </w:p>
    <w:p w14:paraId="1E330EDD" w14:textId="77777777" w:rsidR="00685D4B" w:rsidRPr="00685D4B" w:rsidRDefault="00685D4B" w:rsidP="00685D4B">
      <w:pPr>
        <w:numPr>
          <w:ilvl w:val="0"/>
          <w:numId w:val="1"/>
        </w:numPr>
        <w:shd w:val="clear" w:color="auto" w:fill="FFFFFF"/>
        <w:spacing w:before="100" w:beforeAutospacing="1" w:after="100" w:afterAutospacing="1" w:line="240" w:lineRule="auto"/>
        <w:rPr>
          <w:rFonts w:ascii="Arial" w:eastAsia="Times New Roman" w:hAnsi="Arial" w:cs="Arial"/>
          <w:color w:val="141414"/>
          <w:sz w:val="24"/>
          <w:szCs w:val="24"/>
        </w:rPr>
      </w:pPr>
      <w:proofErr w:type="spellStart"/>
      <w:r w:rsidRPr="00685D4B">
        <w:rPr>
          <w:rFonts w:ascii="Arial" w:eastAsia="Times New Roman" w:hAnsi="Arial" w:cs="Arial"/>
          <w:color w:val="141414"/>
          <w:sz w:val="24"/>
          <w:szCs w:val="24"/>
        </w:rPr>
        <w:t>Perfluorohexanesulfonic</w:t>
      </w:r>
      <w:proofErr w:type="spellEnd"/>
      <w:r w:rsidRPr="00685D4B">
        <w:rPr>
          <w:rFonts w:ascii="Arial" w:eastAsia="Times New Roman" w:hAnsi="Arial" w:cs="Arial"/>
          <w:color w:val="141414"/>
          <w:sz w:val="24"/>
          <w:szCs w:val="24"/>
        </w:rPr>
        <w:t xml:space="preserve"> acid (</w:t>
      </w:r>
      <w:proofErr w:type="spellStart"/>
      <w:r w:rsidRPr="00685D4B">
        <w:rPr>
          <w:rFonts w:ascii="Arial" w:eastAsia="Times New Roman" w:hAnsi="Arial" w:cs="Arial"/>
          <w:color w:val="141414"/>
          <w:sz w:val="24"/>
          <w:szCs w:val="24"/>
        </w:rPr>
        <w:t>PFxHS</w:t>
      </w:r>
      <w:proofErr w:type="spellEnd"/>
      <w:r w:rsidRPr="00685D4B">
        <w:rPr>
          <w:rFonts w:ascii="Arial" w:eastAsia="Times New Roman" w:hAnsi="Arial" w:cs="Arial"/>
          <w:color w:val="141414"/>
          <w:sz w:val="24"/>
          <w:szCs w:val="24"/>
        </w:rPr>
        <w:t>)</w:t>
      </w:r>
    </w:p>
    <w:p w14:paraId="27CDE3F1" w14:textId="77777777" w:rsidR="00685D4B" w:rsidRPr="00685D4B" w:rsidRDefault="00685D4B" w:rsidP="00685D4B">
      <w:pPr>
        <w:numPr>
          <w:ilvl w:val="0"/>
          <w:numId w:val="1"/>
        </w:numPr>
        <w:shd w:val="clear" w:color="auto" w:fill="FFFFFF"/>
        <w:spacing w:before="100" w:beforeAutospacing="1" w:after="100" w:afterAutospacing="1" w:line="240" w:lineRule="auto"/>
        <w:rPr>
          <w:rFonts w:ascii="Arial" w:eastAsia="Times New Roman" w:hAnsi="Arial" w:cs="Arial"/>
          <w:color w:val="141414"/>
          <w:sz w:val="24"/>
          <w:szCs w:val="24"/>
        </w:rPr>
      </w:pPr>
      <w:proofErr w:type="spellStart"/>
      <w:r w:rsidRPr="00685D4B">
        <w:rPr>
          <w:rFonts w:ascii="Arial" w:eastAsia="Times New Roman" w:hAnsi="Arial" w:cs="Arial"/>
          <w:color w:val="141414"/>
          <w:sz w:val="24"/>
          <w:szCs w:val="24"/>
        </w:rPr>
        <w:t>Perfluoroheptanoic</w:t>
      </w:r>
      <w:proofErr w:type="spellEnd"/>
      <w:r w:rsidRPr="00685D4B">
        <w:rPr>
          <w:rFonts w:ascii="Arial" w:eastAsia="Times New Roman" w:hAnsi="Arial" w:cs="Arial"/>
          <w:color w:val="141414"/>
          <w:sz w:val="24"/>
          <w:szCs w:val="24"/>
        </w:rPr>
        <w:t xml:space="preserve"> acid (</w:t>
      </w:r>
      <w:proofErr w:type="spellStart"/>
      <w:r w:rsidRPr="00685D4B">
        <w:rPr>
          <w:rFonts w:ascii="Arial" w:eastAsia="Times New Roman" w:hAnsi="Arial" w:cs="Arial"/>
          <w:color w:val="141414"/>
          <w:sz w:val="24"/>
          <w:szCs w:val="24"/>
        </w:rPr>
        <w:t>PFHpA</w:t>
      </w:r>
      <w:proofErr w:type="spellEnd"/>
      <w:r w:rsidRPr="00685D4B">
        <w:rPr>
          <w:rFonts w:ascii="Arial" w:eastAsia="Times New Roman" w:hAnsi="Arial" w:cs="Arial"/>
          <w:color w:val="141414"/>
          <w:sz w:val="24"/>
          <w:szCs w:val="24"/>
        </w:rPr>
        <w:t>)</w:t>
      </w:r>
    </w:p>
    <w:p w14:paraId="20AE5C1C" w14:textId="77777777" w:rsidR="00685D4B" w:rsidRPr="00685D4B" w:rsidRDefault="00685D4B" w:rsidP="00685D4B">
      <w:pPr>
        <w:numPr>
          <w:ilvl w:val="0"/>
          <w:numId w:val="1"/>
        </w:numPr>
        <w:shd w:val="clear" w:color="auto" w:fill="FFFFFF"/>
        <w:spacing w:before="100" w:beforeAutospacing="1" w:after="100" w:afterAutospacing="1" w:line="240" w:lineRule="auto"/>
        <w:rPr>
          <w:rFonts w:ascii="Arial" w:eastAsia="Times New Roman" w:hAnsi="Arial" w:cs="Arial"/>
          <w:color w:val="141414"/>
          <w:sz w:val="24"/>
          <w:szCs w:val="24"/>
        </w:rPr>
      </w:pPr>
      <w:proofErr w:type="spellStart"/>
      <w:r w:rsidRPr="00685D4B">
        <w:rPr>
          <w:rFonts w:ascii="Arial" w:eastAsia="Times New Roman" w:hAnsi="Arial" w:cs="Arial"/>
          <w:color w:val="141414"/>
          <w:sz w:val="24"/>
          <w:szCs w:val="24"/>
        </w:rPr>
        <w:t>Perfluorodecanoic</w:t>
      </w:r>
      <w:proofErr w:type="spellEnd"/>
      <w:r w:rsidRPr="00685D4B">
        <w:rPr>
          <w:rFonts w:ascii="Arial" w:eastAsia="Times New Roman" w:hAnsi="Arial" w:cs="Arial"/>
          <w:color w:val="141414"/>
          <w:sz w:val="24"/>
          <w:szCs w:val="24"/>
        </w:rPr>
        <w:t xml:space="preserve"> acid (PFDA)</w:t>
      </w:r>
    </w:p>
    <w:p w14:paraId="5C10638E" w14:textId="77777777" w:rsidR="00685D4B" w:rsidRPr="00685D4B" w:rsidRDefault="00685D4B" w:rsidP="00685D4B">
      <w:pPr>
        <w:shd w:val="clear" w:color="auto" w:fill="FFFFFF"/>
        <w:spacing w:before="100" w:beforeAutospacing="1" w:after="100" w:afterAutospacing="1" w:line="240" w:lineRule="auto"/>
        <w:rPr>
          <w:rFonts w:ascii="Arial" w:eastAsia="Times New Roman" w:hAnsi="Arial" w:cs="Arial"/>
          <w:color w:val="141414"/>
          <w:sz w:val="24"/>
          <w:szCs w:val="24"/>
        </w:rPr>
      </w:pPr>
      <w:r w:rsidRPr="00685D4B">
        <w:rPr>
          <w:rFonts w:ascii="Arial" w:eastAsia="Times New Roman" w:hAnsi="Arial" w:cs="Arial"/>
          <w:color w:val="141414"/>
          <w:sz w:val="24"/>
          <w:szCs w:val="24"/>
        </w:rPr>
        <w:t>As early as the 1940's, PFAS (mostly PFOA and PFOS earlier on) became widely used in household products and industrial settings. These chemicals were also historically used in firefighting foams due to their effectiveness at quickly extinguishing petroleum-based fires. Because they have a unique ability to repel oil, grease, water and heat, PFAS are used in many common products that we use regularly. For example, they have been used to make non-stick cookware, stain-resistant carpets and furniture, water-resistant clothing, heat-resistant paper/cardboard food packaging (like microwave popcorn and pizza boxes), and some personal care products. PFAS break down very slowly and are persistent in the environment. This means that PFAS may build up in people, animals, and the environment over time. Health agencies are working to understand more about the health effects of low level, long-term exposure.</w:t>
      </w:r>
    </w:p>
    <w:tbl>
      <w:tblPr>
        <w:tblW w:w="2500" w:type="pct"/>
        <w:jc w:val="center"/>
        <w:tblBorders>
          <w:top w:val="single" w:sz="6" w:space="0" w:color="D9D9D9"/>
          <w:left w:val="single" w:sz="6" w:space="0" w:color="D9D9D9"/>
          <w:bottom w:val="single" w:sz="6" w:space="0" w:color="D9D9D9"/>
          <w:right w:val="single" w:sz="6" w:space="0" w:color="D9D9D9"/>
        </w:tblBorders>
        <w:shd w:val="clear" w:color="auto" w:fill="FFFFFF"/>
        <w:tblCellMar>
          <w:top w:w="15" w:type="dxa"/>
          <w:left w:w="15" w:type="dxa"/>
          <w:bottom w:w="15" w:type="dxa"/>
          <w:right w:w="15" w:type="dxa"/>
        </w:tblCellMar>
        <w:tblLook w:val="04A0" w:firstRow="1" w:lastRow="0" w:firstColumn="1" w:lastColumn="0" w:noHBand="0" w:noVBand="1"/>
      </w:tblPr>
      <w:tblGrid>
        <w:gridCol w:w="4672"/>
      </w:tblGrid>
      <w:tr w:rsidR="00685D4B" w:rsidRPr="00685D4B" w14:paraId="47831214" w14:textId="77777777" w:rsidTr="00685D4B">
        <w:trPr>
          <w:jc w:val="center"/>
        </w:trPr>
        <w:tc>
          <w:tcPr>
            <w:tcW w:w="0" w:type="auto"/>
            <w:tcBorders>
              <w:top w:val="single" w:sz="6" w:space="0" w:color="D9D9D9"/>
              <w:left w:val="single" w:sz="6" w:space="0" w:color="D9D9D9"/>
              <w:bottom w:val="single" w:sz="6" w:space="0" w:color="D9D9D9"/>
              <w:right w:val="single" w:sz="6" w:space="0" w:color="D9D9D9"/>
            </w:tcBorders>
            <w:shd w:val="clear" w:color="auto" w:fill="1C213F"/>
            <w:noWrap/>
            <w:tcMar>
              <w:top w:w="45" w:type="dxa"/>
              <w:left w:w="120" w:type="dxa"/>
              <w:bottom w:w="45" w:type="dxa"/>
              <w:right w:w="120" w:type="dxa"/>
            </w:tcMar>
            <w:vAlign w:val="center"/>
            <w:hideMark/>
          </w:tcPr>
          <w:p w14:paraId="7BC82010" w14:textId="77777777" w:rsidR="00685D4B" w:rsidRPr="00685D4B" w:rsidRDefault="00685D4B" w:rsidP="00685D4B">
            <w:pPr>
              <w:spacing w:after="0" w:line="240" w:lineRule="auto"/>
              <w:rPr>
                <w:rFonts w:ascii="Arial" w:eastAsia="Times New Roman" w:hAnsi="Arial" w:cs="Arial"/>
                <w:b/>
                <w:bCs/>
                <w:color w:val="FFFFFF"/>
                <w:sz w:val="20"/>
                <w:szCs w:val="20"/>
              </w:rPr>
            </w:pPr>
            <w:r w:rsidRPr="00685D4B">
              <w:rPr>
                <w:rFonts w:ascii="Arial" w:eastAsia="Times New Roman" w:hAnsi="Arial" w:cs="Arial"/>
                <w:b/>
                <w:bCs/>
                <w:color w:val="FFFFFF"/>
                <w:sz w:val="20"/>
                <w:szCs w:val="20"/>
              </w:rPr>
              <w:t>Potential Health Impacts from PFAS</w:t>
            </w:r>
          </w:p>
        </w:tc>
      </w:tr>
      <w:tr w:rsidR="00685D4B" w:rsidRPr="00685D4B" w14:paraId="2269D26A" w14:textId="77777777" w:rsidTr="00685D4B">
        <w:trPr>
          <w:jc w:val="center"/>
        </w:trPr>
        <w:tc>
          <w:tcPr>
            <w:tcW w:w="0" w:type="auto"/>
            <w:tcBorders>
              <w:left w:val="single" w:sz="6" w:space="0" w:color="D9D9D9"/>
              <w:bottom w:val="single" w:sz="6" w:space="0" w:color="D9D9D9"/>
            </w:tcBorders>
            <w:shd w:val="clear" w:color="auto" w:fill="FFFFFF"/>
            <w:tcMar>
              <w:top w:w="45" w:type="dxa"/>
              <w:left w:w="120" w:type="dxa"/>
              <w:bottom w:w="45" w:type="dxa"/>
              <w:right w:w="120" w:type="dxa"/>
            </w:tcMar>
            <w:hideMark/>
          </w:tcPr>
          <w:p w14:paraId="0A59644F" w14:textId="77777777" w:rsidR="00685D4B" w:rsidRPr="00685D4B" w:rsidRDefault="00685D4B" w:rsidP="00685D4B">
            <w:pPr>
              <w:spacing w:after="0" w:line="240" w:lineRule="auto"/>
              <w:rPr>
                <w:rFonts w:ascii="Arial" w:eastAsia="Times New Roman" w:hAnsi="Arial" w:cs="Arial"/>
                <w:color w:val="141414"/>
                <w:sz w:val="20"/>
                <w:szCs w:val="20"/>
              </w:rPr>
            </w:pPr>
            <w:r w:rsidRPr="00685D4B">
              <w:rPr>
                <w:rFonts w:ascii="Arial" w:eastAsia="Times New Roman" w:hAnsi="Arial" w:cs="Arial"/>
                <w:color w:val="141414"/>
                <w:sz w:val="20"/>
                <w:szCs w:val="20"/>
              </w:rPr>
              <w:t>Decreases in fertility or increases in high blood pressure in pregnant women</w:t>
            </w:r>
          </w:p>
        </w:tc>
      </w:tr>
      <w:tr w:rsidR="00685D4B" w:rsidRPr="00685D4B" w14:paraId="075F4660" w14:textId="77777777" w:rsidTr="00685D4B">
        <w:trPr>
          <w:jc w:val="center"/>
        </w:trPr>
        <w:tc>
          <w:tcPr>
            <w:tcW w:w="0" w:type="auto"/>
            <w:tcBorders>
              <w:left w:val="single" w:sz="6" w:space="0" w:color="D9D9D9"/>
              <w:bottom w:val="single" w:sz="6" w:space="0" w:color="D9D9D9"/>
            </w:tcBorders>
            <w:shd w:val="clear" w:color="auto" w:fill="EEEEEE"/>
            <w:tcMar>
              <w:top w:w="45" w:type="dxa"/>
              <w:left w:w="120" w:type="dxa"/>
              <w:bottom w:w="45" w:type="dxa"/>
              <w:right w:w="120" w:type="dxa"/>
            </w:tcMar>
            <w:hideMark/>
          </w:tcPr>
          <w:p w14:paraId="50B9EA53" w14:textId="77777777" w:rsidR="00685D4B" w:rsidRPr="00685D4B" w:rsidRDefault="00685D4B" w:rsidP="00685D4B">
            <w:pPr>
              <w:spacing w:after="0" w:line="240" w:lineRule="auto"/>
              <w:rPr>
                <w:rFonts w:ascii="Arial" w:eastAsia="Times New Roman" w:hAnsi="Arial" w:cs="Arial"/>
                <w:color w:val="141414"/>
                <w:sz w:val="20"/>
                <w:szCs w:val="20"/>
              </w:rPr>
            </w:pPr>
            <w:r w:rsidRPr="00685D4B">
              <w:rPr>
                <w:rFonts w:ascii="Arial" w:eastAsia="Times New Roman" w:hAnsi="Arial" w:cs="Arial"/>
                <w:color w:val="141414"/>
                <w:sz w:val="20"/>
                <w:szCs w:val="20"/>
              </w:rPr>
              <w:t>Reduced ability of the body’s immune system to fight infections including reduced vaccine response</w:t>
            </w:r>
          </w:p>
        </w:tc>
      </w:tr>
      <w:tr w:rsidR="00685D4B" w:rsidRPr="00685D4B" w14:paraId="54A2B781" w14:textId="77777777" w:rsidTr="00685D4B">
        <w:trPr>
          <w:jc w:val="center"/>
        </w:trPr>
        <w:tc>
          <w:tcPr>
            <w:tcW w:w="0" w:type="auto"/>
            <w:tcBorders>
              <w:left w:val="single" w:sz="6" w:space="0" w:color="D9D9D9"/>
              <w:bottom w:val="single" w:sz="6" w:space="0" w:color="D9D9D9"/>
            </w:tcBorders>
            <w:shd w:val="clear" w:color="auto" w:fill="FFFFFF"/>
            <w:tcMar>
              <w:top w:w="45" w:type="dxa"/>
              <w:left w:w="120" w:type="dxa"/>
              <w:bottom w:w="45" w:type="dxa"/>
              <w:right w:w="120" w:type="dxa"/>
            </w:tcMar>
            <w:hideMark/>
          </w:tcPr>
          <w:p w14:paraId="6D1B8AA4" w14:textId="77777777" w:rsidR="00685D4B" w:rsidRPr="00685D4B" w:rsidRDefault="00685D4B" w:rsidP="00685D4B">
            <w:pPr>
              <w:spacing w:after="0" w:line="240" w:lineRule="auto"/>
              <w:rPr>
                <w:rFonts w:ascii="Arial" w:eastAsia="Times New Roman" w:hAnsi="Arial" w:cs="Arial"/>
                <w:color w:val="141414"/>
                <w:sz w:val="20"/>
                <w:szCs w:val="20"/>
              </w:rPr>
            </w:pPr>
            <w:r w:rsidRPr="00685D4B">
              <w:rPr>
                <w:rFonts w:ascii="Arial" w:eastAsia="Times New Roman" w:hAnsi="Arial" w:cs="Arial"/>
                <w:color w:val="141414"/>
                <w:sz w:val="20"/>
                <w:szCs w:val="20"/>
              </w:rPr>
              <w:lastRenderedPageBreak/>
              <w:t>Child development effects including low birth weight, accelerated puberty, bone variations, or behavioral changes</w:t>
            </w:r>
          </w:p>
        </w:tc>
      </w:tr>
      <w:tr w:rsidR="00685D4B" w:rsidRPr="00685D4B" w14:paraId="5A5B3221" w14:textId="77777777" w:rsidTr="00685D4B">
        <w:trPr>
          <w:jc w:val="center"/>
        </w:trPr>
        <w:tc>
          <w:tcPr>
            <w:tcW w:w="0" w:type="auto"/>
            <w:tcBorders>
              <w:left w:val="single" w:sz="6" w:space="0" w:color="D9D9D9"/>
              <w:bottom w:val="single" w:sz="6" w:space="0" w:color="D9D9D9"/>
            </w:tcBorders>
            <w:shd w:val="clear" w:color="auto" w:fill="EEEEEE"/>
            <w:tcMar>
              <w:top w:w="45" w:type="dxa"/>
              <w:left w:w="120" w:type="dxa"/>
              <w:bottom w:w="45" w:type="dxa"/>
              <w:right w:w="120" w:type="dxa"/>
            </w:tcMar>
            <w:hideMark/>
          </w:tcPr>
          <w:p w14:paraId="0166A882" w14:textId="77777777" w:rsidR="00685D4B" w:rsidRPr="00685D4B" w:rsidRDefault="00685D4B" w:rsidP="00685D4B">
            <w:pPr>
              <w:spacing w:after="0" w:line="240" w:lineRule="auto"/>
              <w:rPr>
                <w:rFonts w:ascii="Arial" w:eastAsia="Times New Roman" w:hAnsi="Arial" w:cs="Arial"/>
                <w:color w:val="141414"/>
                <w:sz w:val="20"/>
                <w:szCs w:val="20"/>
              </w:rPr>
            </w:pPr>
            <w:r w:rsidRPr="00685D4B">
              <w:rPr>
                <w:rFonts w:ascii="Arial" w:eastAsia="Times New Roman" w:hAnsi="Arial" w:cs="Arial"/>
                <w:color w:val="141414"/>
                <w:sz w:val="20"/>
                <w:szCs w:val="20"/>
              </w:rPr>
              <w:t>Increased risk of some cancers including prostate, kidney, and testicular cancers</w:t>
            </w:r>
          </w:p>
        </w:tc>
      </w:tr>
      <w:tr w:rsidR="00685D4B" w:rsidRPr="00685D4B" w14:paraId="2C5A3456" w14:textId="77777777" w:rsidTr="00685D4B">
        <w:trPr>
          <w:jc w:val="center"/>
        </w:trPr>
        <w:tc>
          <w:tcPr>
            <w:tcW w:w="0" w:type="auto"/>
            <w:tcBorders>
              <w:left w:val="single" w:sz="6" w:space="0" w:color="D9D9D9"/>
              <w:bottom w:val="single" w:sz="6" w:space="0" w:color="D9D9D9"/>
            </w:tcBorders>
            <w:shd w:val="clear" w:color="auto" w:fill="FFFFFF"/>
            <w:tcMar>
              <w:top w:w="45" w:type="dxa"/>
              <w:left w:w="120" w:type="dxa"/>
              <w:bottom w:w="45" w:type="dxa"/>
              <w:right w:w="120" w:type="dxa"/>
            </w:tcMar>
            <w:hideMark/>
          </w:tcPr>
          <w:p w14:paraId="779F10F3" w14:textId="77777777" w:rsidR="00685D4B" w:rsidRPr="00685D4B" w:rsidRDefault="00685D4B" w:rsidP="00685D4B">
            <w:pPr>
              <w:spacing w:after="0" w:line="240" w:lineRule="auto"/>
              <w:rPr>
                <w:rFonts w:ascii="Arial" w:eastAsia="Times New Roman" w:hAnsi="Arial" w:cs="Arial"/>
                <w:color w:val="141414"/>
                <w:sz w:val="20"/>
                <w:szCs w:val="20"/>
              </w:rPr>
            </w:pPr>
            <w:r w:rsidRPr="00685D4B">
              <w:rPr>
                <w:rFonts w:ascii="Arial" w:eastAsia="Times New Roman" w:hAnsi="Arial" w:cs="Arial"/>
                <w:color w:val="141414"/>
                <w:sz w:val="20"/>
                <w:szCs w:val="20"/>
              </w:rPr>
              <w:t>Interference with the body’s natural hormones</w:t>
            </w:r>
          </w:p>
        </w:tc>
      </w:tr>
      <w:tr w:rsidR="00685D4B" w:rsidRPr="00685D4B" w14:paraId="7C133B48" w14:textId="77777777" w:rsidTr="00685D4B">
        <w:trPr>
          <w:jc w:val="center"/>
        </w:trPr>
        <w:tc>
          <w:tcPr>
            <w:tcW w:w="0" w:type="auto"/>
            <w:tcBorders>
              <w:left w:val="single" w:sz="6" w:space="0" w:color="D9D9D9"/>
              <w:bottom w:val="single" w:sz="6" w:space="0" w:color="D9D9D9"/>
            </w:tcBorders>
            <w:shd w:val="clear" w:color="auto" w:fill="EEEEEE"/>
            <w:tcMar>
              <w:top w:w="45" w:type="dxa"/>
              <w:left w:w="120" w:type="dxa"/>
              <w:bottom w:w="45" w:type="dxa"/>
              <w:right w:w="120" w:type="dxa"/>
            </w:tcMar>
            <w:hideMark/>
          </w:tcPr>
          <w:p w14:paraId="1B969D0A" w14:textId="77777777" w:rsidR="00685D4B" w:rsidRPr="00685D4B" w:rsidRDefault="00685D4B" w:rsidP="00685D4B">
            <w:pPr>
              <w:spacing w:after="0" w:line="240" w:lineRule="auto"/>
              <w:rPr>
                <w:rFonts w:ascii="Arial" w:eastAsia="Times New Roman" w:hAnsi="Arial" w:cs="Arial"/>
                <w:color w:val="141414"/>
                <w:sz w:val="20"/>
                <w:szCs w:val="20"/>
              </w:rPr>
            </w:pPr>
            <w:r w:rsidRPr="00685D4B">
              <w:rPr>
                <w:rFonts w:ascii="Arial" w:eastAsia="Times New Roman" w:hAnsi="Arial" w:cs="Arial"/>
                <w:color w:val="141414"/>
                <w:sz w:val="20"/>
                <w:szCs w:val="20"/>
              </w:rPr>
              <w:t>Increased cholesterol levels and/or risk of obesity</w:t>
            </w:r>
          </w:p>
        </w:tc>
      </w:tr>
    </w:tbl>
    <w:p w14:paraId="08D63145" w14:textId="77777777" w:rsidR="00297C88" w:rsidRDefault="00297C88"/>
    <w:sectPr w:rsidR="00297C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4934FB"/>
    <w:multiLevelType w:val="multilevel"/>
    <w:tmpl w:val="6C10F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D4B"/>
    <w:rsid w:val="001E7362"/>
    <w:rsid w:val="00297C88"/>
    <w:rsid w:val="00685D4B"/>
    <w:rsid w:val="00D50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87BE3"/>
  <w15:chartTrackingRefBased/>
  <w15:docId w15:val="{7612CB37-3E85-4182-8C59-F665109D2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8738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mainelegislature.org/legis/bills/getPDF.asp?paper=SP0064&amp;item=3&amp;snum=13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324</Words>
  <Characters>1849</Characters>
  <Application>Microsoft Office Word</Application>
  <DocSecurity>0</DocSecurity>
  <Lines>15</Lines>
  <Paragraphs>4</Paragraphs>
  <ScaleCrop>false</ScaleCrop>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Alderman</dc:creator>
  <cp:keywords/>
  <dc:description/>
  <cp:lastModifiedBy>Craig Alderman</cp:lastModifiedBy>
  <cp:revision>1</cp:revision>
  <dcterms:created xsi:type="dcterms:W3CDTF">2021-11-24T16:59:00Z</dcterms:created>
  <dcterms:modified xsi:type="dcterms:W3CDTF">2021-11-24T17:01:00Z</dcterms:modified>
</cp:coreProperties>
</file>